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22" w:rsidRDefault="00610D81">
      <w:pPr>
        <w:jc w:val="center"/>
        <w:rPr>
          <w:b/>
          <w:sz w:val="24"/>
          <w:szCs w:val="24"/>
        </w:rPr>
      </w:pPr>
      <w:r>
        <w:rPr>
          <w:b/>
          <w:sz w:val="24"/>
          <w:szCs w:val="24"/>
        </w:rPr>
        <w:t>ADULT MISDEMEANOR ATTORNEY FEE SCHEDULE</w:t>
      </w:r>
    </w:p>
    <w:p w:rsidR="003B4680" w:rsidRDefault="003B4680" w:rsidP="003B4680"/>
    <w:p w:rsidR="00544822" w:rsidRDefault="003B4680" w:rsidP="003B4680">
      <w:r>
        <w:t xml:space="preserve">Effective November 1, 2021 for Services Rendered on or after that Date. </w:t>
      </w:r>
    </w:p>
    <w:p w:rsidR="003B4680" w:rsidRDefault="003B4680" w:rsidP="003B4680"/>
    <w:p w:rsidR="003B4680" w:rsidRDefault="003B4680" w:rsidP="003B4680">
      <w:r>
        <w:t xml:space="preserve">The goal of these guidelines is to insure quality representation for indigent persons charged with misdemeanor crimes in Guadalupe County. </w:t>
      </w:r>
    </w:p>
    <w:p w:rsidR="003B4680" w:rsidRDefault="003B4680" w:rsidP="003B4680"/>
    <w:p w:rsidR="003B4680" w:rsidRDefault="003B4680" w:rsidP="003B4680">
      <w:r>
        <w:t xml:space="preserve">Court appointed attorneys remain the attorney of record until final disposition of their cases unless a motion to withdraw or substitute is granted. </w:t>
      </w:r>
      <w:bookmarkStart w:id="0" w:name="_GoBack"/>
      <w:bookmarkEnd w:id="0"/>
    </w:p>
    <w:p w:rsidR="00544822" w:rsidRDefault="00544822"/>
    <w:tbl>
      <w:tblPr>
        <w:tblStyle w:val="a"/>
        <w:tblW w:w="13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3255"/>
        <w:gridCol w:w="3255"/>
        <w:gridCol w:w="3255"/>
      </w:tblGrid>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jc w:val="center"/>
              <w:rPr>
                <w:b/>
              </w:rPr>
            </w:pPr>
            <w:r>
              <w:rPr>
                <w:b/>
              </w:rPr>
              <w:t>REPRESENTATION</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jc w:val="center"/>
              <w:rPr>
                <w:b/>
              </w:rPr>
            </w:pPr>
            <w:r>
              <w:rPr>
                <w:b/>
              </w:rPr>
              <w:t>FEE</w:t>
            </w:r>
          </w:p>
        </w:tc>
        <w:tc>
          <w:tcPr>
            <w:tcW w:w="3255" w:type="dxa"/>
          </w:tcPr>
          <w:p w:rsidR="003B4680" w:rsidRDefault="003B4680" w:rsidP="004D414E">
            <w:pPr>
              <w:widowControl w:val="0"/>
              <w:pBdr>
                <w:top w:val="nil"/>
                <w:left w:val="nil"/>
                <w:bottom w:val="nil"/>
                <w:right w:val="nil"/>
                <w:between w:val="nil"/>
              </w:pBdr>
              <w:spacing w:line="240" w:lineRule="auto"/>
              <w:jc w:val="center"/>
              <w:rPr>
                <w:b/>
              </w:rPr>
            </w:pPr>
            <w:r>
              <w:rPr>
                <w:b/>
              </w:rPr>
              <w:t>Mental Health Cases</w:t>
            </w:r>
          </w:p>
        </w:tc>
        <w:tc>
          <w:tcPr>
            <w:tcW w:w="3255" w:type="dxa"/>
          </w:tcPr>
          <w:p w:rsidR="003B4680" w:rsidRDefault="003B4680" w:rsidP="004D414E">
            <w:pPr>
              <w:widowControl w:val="0"/>
              <w:pBdr>
                <w:top w:val="nil"/>
                <w:left w:val="nil"/>
                <w:bottom w:val="nil"/>
                <w:right w:val="nil"/>
                <w:between w:val="nil"/>
              </w:pBdr>
              <w:spacing w:line="240" w:lineRule="auto"/>
              <w:jc w:val="center"/>
              <w:rPr>
                <w:b/>
              </w:rPr>
            </w:pPr>
            <w:r>
              <w:rPr>
                <w:b/>
              </w:rPr>
              <w:t>FEE</w:t>
            </w: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Writ of Habeas Corpus</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$75</w:t>
            </w:r>
          </w:p>
        </w:tc>
        <w:tc>
          <w:tcPr>
            <w:tcW w:w="3255" w:type="dxa"/>
          </w:tcPr>
          <w:p w:rsidR="003B4680" w:rsidRDefault="003B4680" w:rsidP="004D414E">
            <w:pPr>
              <w:widowControl w:val="0"/>
              <w:pBdr>
                <w:top w:val="nil"/>
                <w:left w:val="nil"/>
                <w:bottom w:val="nil"/>
                <w:right w:val="nil"/>
                <w:between w:val="nil"/>
              </w:pBdr>
              <w:spacing w:line="240" w:lineRule="auto"/>
            </w:pPr>
            <w:r>
              <w:t>$100</w:t>
            </w:r>
          </w:p>
        </w:tc>
        <w:tc>
          <w:tcPr>
            <w:tcW w:w="3255" w:type="dxa"/>
          </w:tcPr>
          <w:p w:rsidR="003B4680" w:rsidRDefault="003B4680" w:rsidP="004D414E">
            <w:pPr>
              <w:widowControl w:val="0"/>
              <w:pBdr>
                <w:top w:val="nil"/>
                <w:left w:val="nil"/>
                <w:bottom w:val="nil"/>
                <w:right w:val="nil"/>
                <w:between w:val="nil"/>
              </w:pBdr>
              <w:spacing w:line="240" w:lineRule="auto"/>
            </w:pPr>
            <w:r>
              <w:t xml:space="preserve">Meet with Patient </w:t>
            </w:r>
            <w:r>
              <w:t>if patient is released or moved</w:t>
            </w: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12:45, Declined Case or Release Prior to Disposition</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$75</w:t>
            </w:r>
          </w:p>
        </w:tc>
        <w:tc>
          <w:tcPr>
            <w:tcW w:w="3255" w:type="dxa"/>
          </w:tcPr>
          <w:p w:rsidR="003B4680" w:rsidRDefault="003B4680" w:rsidP="004D414E">
            <w:pPr>
              <w:widowControl w:val="0"/>
              <w:pBdr>
                <w:top w:val="nil"/>
                <w:left w:val="nil"/>
                <w:bottom w:val="nil"/>
                <w:right w:val="nil"/>
                <w:between w:val="nil"/>
              </w:pBdr>
              <w:spacing w:line="240" w:lineRule="auto"/>
            </w:pPr>
            <w:r>
              <w:t>Probable Cause Hearing</w:t>
            </w:r>
          </w:p>
        </w:tc>
        <w:tc>
          <w:tcPr>
            <w:tcW w:w="3255" w:type="dxa"/>
          </w:tcPr>
          <w:p w:rsidR="003B4680" w:rsidRDefault="003B4680" w:rsidP="004D414E">
            <w:pPr>
              <w:widowControl w:val="0"/>
              <w:pBdr>
                <w:top w:val="nil"/>
                <w:left w:val="nil"/>
                <w:bottom w:val="nil"/>
                <w:right w:val="nil"/>
                <w:between w:val="nil"/>
              </w:pBdr>
              <w:spacing w:line="240" w:lineRule="auto"/>
            </w:pPr>
            <w:r>
              <w:t>$500</w:t>
            </w: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Plea and Sentence</w:t>
            </w:r>
          </w:p>
          <w:p w:rsidR="003B4680" w:rsidRDefault="003B4680">
            <w:pPr>
              <w:widowControl w:val="0"/>
              <w:pBdr>
                <w:top w:val="nil"/>
                <w:left w:val="nil"/>
                <w:bottom w:val="nil"/>
                <w:right w:val="nil"/>
                <w:between w:val="nil"/>
              </w:pBdr>
              <w:spacing w:line="240" w:lineRule="auto"/>
            </w:pPr>
            <w:r>
              <w:t>(includes Discovery and Dismissal)</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$250</w:t>
            </w:r>
          </w:p>
          <w:p w:rsidR="003B4680" w:rsidRDefault="003B4680">
            <w:pPr>
              <w:widowControl w:val="0"/>
              <w:pBdr>
                <w:top w:val="nil"/>
                <w:left w:val="nil"/>
                <w:bottom w:val="nil"/>
                <w:right w:val="nil"/>
                <w:between w:val="nil"/>
              </w:pBdr>
              <w:spacing w:line="240" w:lineRule="auto"/>
            </w:pPr>
            <w:r w:rsidRPr="003B4680">
              <w:t>$100 for additional cases</w:t>
            </w:r>
            <w:r>
              <w:t xml:space="preserve"> </w:t>
            </w:r>
          </w:p>
        </w:tc>
        <w:tc>
          <w:tcPr>
            <w:tcW w:w="3255" w:type="dxa"/>
          </w:tcPr>
          <w:p w:rsidR="003B4680" w:rsidRDefault="003B4680" w:rsidP="004D414E">
            <w:pPr>
              <w:widowControl w:val="0"/>
              <w:pBdr>
                <w:top w:val="nil"/>
                <w:left w:val="nil"/>
                <w:bottom w:val="nil"/>
                <w:right w:val="nil"/>
                <w:between w:val="nil"/>
              </w:pBdr>
              <w:spacing w:line="240" w:lineRule="auto"/>
            </w:pPr>
            <w:r>
              <w:t>Court Ordered Temporary Mental Health Service Hearing</w:t>
            </w:r>
          </w:p>
        </w:tc>
        <w:tc>
          <w:tcPr>
            <w:tcW w:w="3255" w:type="dxa"/>
          </w:tcPr>
          <w:p w:rsidR="003B4680" w:rsidRDefault="003B4680" w:rsidP="004D414E">
            <w:pPr>
              <w:widowControl w:val="0"/>
              <w:pBdr>
                <w:top w:val="nil"/>
                <w:left w:val="nil"/>
                <w:bottom w:val="nil"/>
                <w:right w:val="nil"/>
                <w:between w:val="nil"/>
              </w:pBdr>
              <w:spacing w:line="240" w:lineRule="auto"/>
            </w:pPr>
            <w:r>
              <w:t>To be determined by the Judge</w:t>
            </w: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Pre-Trial Motions and Bench Trial</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$250</w:t>
            </w:r>
          </w:p>
        </w:tc>
        <w:tc>
          <w:tcPr>
            <w:tcW w:w="3255" w:type="dxa"/>
          </w:tcPr>
          <w:p w:rsidR="003B4680" w:rsidRDefault="003B4680" w:rsidP="004D414E">
            <w:pPr>
              <w:widowControl w:val="0"/>
              <w:pBdr>
                <w:top w:val="nil"/>
                <w:left w:val="nil"/>
                <w:bottom w:val="nil"/>
                <w:right w:val="nil"/>
                <w:between w:val="nil"/>
              </w:pBdr>
              <w:spacing w:line="240" w:lineRule="auto"/>
            </w:pPr>
          </w:p>
        </w:tc>
        <w:tc>
          <w:tcPr>
            <w:tcW w:w="3255" w:type="dxa"/>
          </w:tcPr>
          <w:p w:rsidR="003B4680" w:rsidRDefault="003B4680" w:rsidP="004D414E">
            <w:pPr>
              <w:widowControl w:val="0"/>
              <w:pBdr>
                <w:top w:val="nil"/>
                <w:left w:val="nil"/>
                <w:bottom w:val="nil"/>
                <w:right w:val="nil"/>
                <w:between w:val="nil"/>
              </w:pBdr>
              <w:spacing w:line="240" w:lineRule="auto"/>
            </w:pP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Jury Trial</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$750</w:t>
            </w:r>
          </w:p>
        </w:tc>
        <w:tc>
          <w:tcPr>
            <w:tcW w:w="3255" w:type="dxa"/>
          </w:tcPr>
          <w:p w:rsidR="003B4680" w:rsidRDefault="003B4680" w:rsidP="004D414E">
            <w:pPr>
              <w:widowControl w:val="0"/>
              <w:pBdr>
                <w:top w:val="nil"/>
                <w:left w:val="nil"/>
                <w:bottom w:val="nil"/>
                <w:right w:val="nil"/>
                <w:between w:val="nil"/>
              </w:pBdr>
              <w:spacing w:line="240" w:lineRule="auto"/>
            </w:pPr>
          </w:p>
        </w:tc>
        <w:tc>
          <w:tcPr>
            <w:tcW w:w="3255" w:type="dxa"/>
          </w:tcPr>
          <w:p w:rsidR="003B4680" w:rsidRDefault="003B4680" w:rsidP="004D414E">
            <w:pPr>
              <w:widowControl w:val="0"/>
              <w:pBdr>
                <w:top w:val="nil"/>
                <w:left w:val="nil"/>
                <w:bottom w:val="nil"/>
                <w:right w:val="nil"/>
                <w:between w:val="nil"/>
              </w:pBdr>
              <w:spacing w:line="240" w:lineRule="auto"/>
            </w:pP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Appeals</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Up to $2,500 per case to be approved by the Judge</w:t>
            </w:r>
          </w:p>
        </w:tc>
        <w:tc>
          <w:tcPr>
            <w:tcW w:w="3255" w:type="dxa"/>
          </w:tcPr>
          <w:p w:rsidR="003B4680" w:rsidRDefault="003B4680" w:rsidP="004D414E">
            <w:pPr>
              <w:widowControl w:val="0"/>
              <w:pBdr>
                <w:top w:val="nil"/>
                <w:left w:val="nil"/>
                <w:bottom w:val="nil"/>
                <w:right w:val="nil"/>
                <w:between w:val="nil"/>
              </w:pBdr>
              <w:spacing w:line="240" w:lineRule="auto"/>
            </w:pPr>
          </w:p>
        </w:tc>
        <w:tc>
          <w:tcPr>
            <w:tcW w:w="3255" w:type="dxa"/>
          </w:tcPr>
          <w:p w:rsidR="003B4680" w:rsidRDefault="003B4680" w:rsidP="004D414E">
            <w:pPr>
              <w:widowControl w:val="0"/>
              <w:pBdr>
                <w:top w:val="nil"/>
                <w:left w:val="nil"/>
                <w:bottom w:val="nil"/>
                <w:right w:val="nil"/>
                <w:between w:val="nil"/>
              </w:pBdr>
              <w:spacing w:line="240" w:lineRule="auto"/>
            </w:pPr>
          </w:p>
        </w:tc>
      </w:tr>
      <w:tr w:rsidR="003B4680" w:rsidTr="003B4680">
        <w:tc>
          <w:tcPr>
            <w:tcW w:w="421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pPr>
            <w:r>
              <w:t>Jail Visit</w:t>
            </w:r>
          </w:p>
        </w:tc>
        <w:tc>
          <w:tcPr>
            <w:tcW w:w="3255" w:type="dxa"/>
            <w:shd w:val="clear" w:color="auto" w:fill="auto"/>
            <w:tcMar>
              <w:top w:w="100" w:type="dxa"/>
              <w:left w:w="100" w:type="dxa"/>
              <w:bottom w:w="100" w:type="dxa"/>
              <w:right w:w="100" w:type="dxa"/>
            </w:tcMar>
          </w:tcPr>
          <w:p w:rsidR="003B4680" w:rsidRDefault="003B4680">
            <w:pPr>
              <w:widowControl w:val="0"/>
              <w:pBdr>
                <w:top w:val="nil"/>
                <w:left w:val="nil"/>
                <w:bottom w:val="nil"/>
                <w:right w:val="nil"/>
                <w:between w:val="nil"/>
              </w:pBdr>
              <w:spacing w:line="240" w:lineRule="auto"/>
              <w:rPr>
                <w:highlight w:val="green"/>
              </w:rPr>
            </w:pPr>
            <w:r w:rsidRPr="003B4680">
              <w:t>$50</w:t>
            </w:r>
            <w:r>
              <w:t xml:space="preserve"> (max. per case)</w:t>
            </w:r>
          </w:p>
        </w:tc>
        <w:tc>
          <w:tcPr>
            <w:tcW w:w="3255" w:type="dxa"/>
          </w:tcPr>
          <w:p w:rsidR="003B4680" w:rsidRDefault="003B4680" w:rsidP="004D414E">
            <w:pPr>
              <w:widowControl w:val="0"/>
              <w:pBdr>
                <w:top w:val="nil"/>
                <w:left w:val="nil"/>
                <w:bottom w:val="nil"/>
                <w:right w:val="nil"/>
                <w:between w:val="nil"/>
              </w:pBdr>
              <w:spacing w:line="240" w:lineRule="auto"/>
            </w:pPr>
          </w:p>
        </w:tc>
        <w:tc>
          <w:tcPr>
            <w:tcW w:w="3255" w:type="dxa"/>
          </w:tcPr>
          <w:p w:rsidR="003B4680" w:rsidRDefault="003B4680" w:rsidP="004D414E">
            <w:pPr>
              <w:widowControl w:val="0"/>
              <w:pBdr>
                <w:top w:val="nil"/>
                <w:left w:val="nil"/>
                <w:bottom w:val="nil"/>
                <w:right w:val="nil"/>
                <w:between w:val="nil"/>
              </w:pBdr>
              <w:spacing w:line="240" w:lineRule="auto"/>
              <w:rPr>
                <w:highlight w:val="green"/>
              </w:rPr>
            </w:pPr>
          </w:p>
        </w:tc>
      </w:tr>
    </w:tbl>
    <w:p w:rsidR="00544822" w:rsidRDefault="00544822"/>
    <w:p w:rsidR="00544822" w:rsidRDefault="00610D81">
      <w:r>
        <w:t>Caveat: In an unusual case, the considerations set forth in Texas Rules of Professional Conduct Rule 1.04(b) may dictate a fee that is less than or more than the one established by these guidelines. In such an event, an hourly rate of $50 to $75 may be use</w:t>
      </w:r>
      <w:r>
        <w:t>d in calculating requested fees. Fees will be dependent upon the complexity of the case and the experience and ability of the appointed counsel. Claims for payment should reflect time expended to the nearest 1/10th of an hour.</w:t>
      </w:r>
    </w:p>
    <w:sectPr w:rsidR="00544822">
      <w:footerReference w:type="default" r:id="rId7"/>
      <w:pgSz w:w="15840" w:h="12240" w:orient="landscape"/>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81" w:rsidRDefault="00610D81">
      <w:pPr>
        <w:spacing w:line="240" w:lineRule="auto"/>
      </w:pPr>
      <w:r>
        <w:separator/>
      </w:r>
    </w:p>
  </w:endnote>
  <w:endnote w:type="continuationSeparator" w:id="0">
    <w:p w:rsidR="00610D81" w:rsidRDefault="00610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22" w:rsidRDefault="00610D81">
    <w:r>
      <w:t>November 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81" w:rsidRDefault="00610D81">
      <w:pPr>
        <w:spacing w:line="240" w:lineRule="auto"/>
      </w:pPr>
      <w:r>
        <w:separator/>
      </w:r>
    </w:p>
  </w:footnote>
  <w:footnote w:type="continuationSeparator" w:id="0">
    <w:p w:rsidR="00610D81" w:rsidRDefault="00610D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4822"/>
    <w:rsid w:val="003B4680"/>
    <w:rsid w:val="00544822"/>
    <w:rsid w:val="0061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Squires</dc:creator>
  <cp:lastModifiedBy>Judge Squires</cp:lastModifiedBy>
  <cp:revision>2</cp:revision>
  <dcterms:created xsi:type="dcterms:W3CDTF">2021-11-01T14:04:00Z</dcterms:created>
  <dcterms:modified xsi:type="dcterms:W3CDTF">2021-11-01T14:04:00Z</dcterms:modified>
</cp:coreProperties>
</file>